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8" w:rsidRPr="006562F3" w:rsidRDefault="00861268" w:rsidP="006562F3">
      <w:pPr>
        <w:ind w:left="5102"/>
        <w:jc w:val="both"/>
        <w:rPr>
          <w:rFonts w:eastAsia="Calibri"/>
          <w:szCs w:val="24"/>
          <w:lang w:eastAsia="lt-LT"/>
        </w:rPr>
      </w:pPr>
      <w:r w:rsidRPr="006562F3">
        <w:rPr>
          <w:rFonts w:eastAsia="Calibri"/>
          <w:szCs w:val="24"/>
        </w:rPr>
        <w:t xml:space="preserve">VPS priemonės </w:t>
      </w:r>
      <w:r w:rsidR="006562F3" w:rsidRPr="006562F3">
        <w:rPr>
          <w:rFonts w:eastAsia="Calibri"/>
          <w:sz w:val="22"/>
          <w:szCs w:val="22"/>
          <w:lang w:eastAsia="ar-SA"/>
        </w:rPr>
        <w:t xml:space="preserve">„Ūkio ir verslo plėtra“ </w:t>
      </w:r>
      <w:r w:rsidR="006562F3" w:rsidRPr="006562F3">
        <w:rPr>
          <w:sz w:val="22"/>
          <w:szCs w:val="22"/>
          <w:lang w:eastAsia="lt-LT"/>
        </w:rPr>
        <w:t xml:space="preserve">veiklos srities </w:t>
      </w:r>
      <w:r w:rsidR="006562F3" w:rsidRPr="006562F3">
        <w:rPr>
          <w:rFonts w:eastAsia="Calibri"/>
          <w:sz w:val="22"/>
          <w:szCs w:val="22"/>
          <w:lang w:eastAsia="ar-SA"/>
        </w:rPr>
        <w:t>„Parama ne žemės ūkio verslui kaimo vietovėse plėtoti“</w:t>
      </w:r>
      <w:r w:rsidR="006562F3" w:rsidRPr="006562F3">
        <w:rPr>
          <w:iCs/>
          <w:szCs w:val="24"/>
          <w:lang w:eastAsia="lt-LT"/>
        </w:rPr>
        <w:t xml:space="preserve"> </w:t>
      </w:r>
      <w:r w:rsidRPr="006562F3">
        <w:rPr>
          <w:iCs/>
          <w:szCs w:val="24"/>
          <w:lang w:eastAsia="lt-LT"/>
        </w:rPr>
        <w:t>v</w:t>
      </w:r>
      <w:r w:rsidRPr="006562F3">
        <w:rPr>
          <w:rFonts w:eastAsia="Calibri"/>
          <w:szCs w:val="24"/>
          <w:lang w:eastAsia="lt-LT"/>
        </w:rPr>
        <w:t xml:space="preserve">ietos projektų finansavimo </w:t>
      </w:r>
      <w:bookmarkStart w:id="0" w:name="_GoBack"/>
      <w:bookmarkEnd w:id="0"/>
      <w:r w:rsidRPr="006562F3">
        <w:rPr>
          <w:rFonts w:eastAsia="Calibri"/>
          <w:szCs w:val="24"/>
          <w:lang w:eastAsia="lt-LT"/>
        </w:rPr>
        <w:t xml:space="preserve">aprašo </w:t>
      </w:r>
    </w:p>
    <w:p w:rsidR="008B09DC" w:rsidRPr="008B09DC" w:rsidRDefault="00861268" w:rsidP="00861268">
      <w:pPr>
        <w:ind w:left="3600" w:firstLine="720"/>
        <w:jc w:val="both"/>
        <w:rPr>
          <w:rFonts w:eastAsia="Calibri"/>
          <w:szCs w:val="24"/>
        </w:rPr>
      </w:pPr>
      <w:r>
        <w:rPr>
          <w:rFonts w:eastAsia="Calibri"/>
          <w:szCs w:val="24"/>
        </w:rPr>
        <w:t xml:space="preserve">     </w:t>
      </w:r>
      <w:r w:rsidR="008B09DC">
        <w:rPr>
          <w:rFonts w:eastAsia="Calibri"/>
          <w:szCs w:val="24"/>
        </w:rPr>
        <w:t xml:space="preserve">        4 priedas</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tblPr>
      <w:tblGrid>
        <w:gridCol w:w="897"/>
        <w:gridCol w:w="775"/>
        <w:gridCol w:w="266"/>
        <w:gridCol w:w="1074"/>
        <w:gridCol w:w="341"/>
        <w:gridCol w:w="1393"/>
        <w:gridCol w:w="859"/>
        <w:gridCol w:w="378"/>
        <w:gridCol w:w="629"/>
        <w:gridCol w:w="430"/>
        <w:gridCol w:w="345"/>
        <w:gridCol w:w="654"/>
        <w:gridCol w:w="53"/>
        <w:gridCol w:w="148"/>
        <w:gridCol w:w="39"/>
        <w:gridCol w:w="282"/>
        <w:gridCol w:w="185"/>
        <w:gridCol w:w="575"/>
        <w:gridCol w:w="300"/>
        <w:gridCol w:w="67"/>
        <w:gridCol w:w="164"/>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35" w:rsidRDefault="002F7535">
      <w:pPr>
        <w:ind w:firstLine="720"/>
        <w:jc w:val="both"/>
      </w:pPr>
      <w:r>
        <w:separator/>
      </w:r>
    </w:p>
  </w:endnote>
  <w:endnote w:type="continuationSeparator" w:id="0">
    <w:p w:rsidR="002F7535" w:rsidRDefault="002F7535">
      <w:pPr>
        <w:ind w:firstLine="720"/>
        <w:jc w:val="bot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F3" w:rsidRDefault="005425EA">
    <w:pPr>
      <w:framePr w:wrap="auto" w:vAnchor="text" w:hAnchor="margin" w:xAlign="right" w:y="1"/>
      <w:tabs>
        <w:tab w:val="center" w:pos="4153"/>
        <w:tab w:val="right" w:pos="8306"/>
      </w:tabs>
      <w:ind w:firstLine="720"/>
      <w:jc w:val="both"/>
    </w:pPr>
    <w:r>
      <w:fldChar w:fldCharType="begin"/>
    </w:r>
    <w:r w:rsidR="006562F3">
      <w:instrText xml:space="preserve">PAGE  </w:instrText>
    </w:r>
    <w:r>
      <w:fldChar w:fldCharType="separate"/>
    </w:r>
    <w:r w:rsidR="006562F3">
      <w:t>32</w:t>
    </w:r>
    <w:r>
      <w:fldChar w:fldCharType="end"/>
    </w:r>
  </w:p>
  <w:p w:rsidR="006562F3" w:rsidRDefault="006562F3">
    <w:pPr>
      <w:tabs>
        <w:tab w:val="center" w:pos="4153"/>
        <w:tab w:val="right" w:pos="8306"/>
      </w:tabs>
      <w:ind w:right="360" w:firstLine="7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F3" w:rsidRDefault="006562F3">
    <w:pPr>
      <w:framePr w:wrap="auto" w:vAnchor="text" w:hAnchor="margin" w:xAlign="center" w:y="1"/>
      <w:tabs>
        <w:tab w:val="center" w:pos="4153"/>
        <w:tab w:val="right" w:pos="8306"/>
      </w:tabs>
      <w:ind w:right="360" w:firstLine="720"/>
      <w:jc w:val="both"/>
    </w:pPr>
  </w:p>
  <w:p w:rsidR="006562F3" w:rsidRDefault="006562F3">
    <w:pPr>
      <w:tabs>
        <w:tab w:val="center" w:pos="4153"/>
        <w:tab w:val="right" w:pos="8306"/>
      </w:tabs>
      <w:ind w:firstLine="7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F3" w:rsidRDefault="006562F3">
    <w:pPr>
      <w:tabs>
        <w:tab w:val="center" w:pos="4153"/>
        <w:tab w:val="right" w:pos="8306"/>
      </w:tabs>
      <w:ind w:firstLine="72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35" w:rsidRDefault="002F7535">
      <w:pPr>
        <w:ind w:firstLine="720"/>
        <w:jc w:val="both"/>
      </w:pPr>
      <w:r>
        <w:separator/>
      </w:r>
    </w:p>
  </w:footnote>
  <w:footnote w:type="continuationSeparator" w:id="0">
    <w:p w:rsidR="002F7535" w:rsidRDefault="002F7535">
      <w:pPr>
        <w:ind w:firstLine="720"/>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F3" w:rsidRDefault="005425EA">
    <w:pPr>
      <w:framePr w:wrap="auto" w:vAnchor="text" w:hAnchor="margin" w:xAlign="center" w:y="1"/>
      <w:tabs>
        <w:tab w:val="center" w:pos="4153"/>
        <w:tab w:val="right" w:pos="8306"/>
      </w:tabs>
      <w:ind w:firstLine="720"/>
      <w:jc w:val="both"/>
    </w:pPr>
    <w:r>
      <w:fldChar w:fldCharType="begin"/>
    </w:r>
    <w:r w:rsidR="006562F3">
      <w:instrText xml:space="preserve">PAGE  </w:instrText>
    </w:r>
    <w:r>
      <w:fldChar w:fldCharType="separate"/>
    </w:r>
    <w:r w:rsidR="006562F3">
      <w:t>32</w:t>
    </w:r>
    <w:r>
      <w:fldChar w:fldCharType="end"/>
    </w:r>
  </w:p>
  <w:p w:rsidR="006562F3" w:rsidRDefault="006562F3">
    <w:pPr>
      <w:tabs>
        <w:tab w:val="center" w:pos="4153"/>
        <w:tab w:val="right" w:pos="8306"/>
      </w:tabs>
      <w:ind w:firstLine="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F3" w:rsidRDefault="006562F3">
    <w:pPr>
      <w:tabs>
        <w:tab w:val="center" w:pos="4153"/>
        <w:tab w:val="right" w:pos="8306"/>
      </w:tabs>
      <w:ind w:firstLine="72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B2F4C"/>
    <w:rsid w:val="00020F00"/>
    <w:rsid w:val="00156D72"/>
    <w:rsid w:val="001B0FC9"/>
    <w:rsid w:val="002308D6"/>
    <w:rsid w:val="002E64BE"/>
    <w:rsid w:val="002F7535"/>
    <w:rsid w:val="00313B2B"/>
    <w:rsid w:val="003A5D24"/>
    <w:rsid w:val="004C469D"/>
    <w:rsid w:val="004F7D7C"/>
    <w:rsid w:val="005425EA"/>
    <w:rsid w:val="006562F3"/>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A4FEC"/>
    <w:rsid w:val="00E5797A"/>
    <w:rsid w:val="00ED2E9F"/>
    <w:rsid w:val="00EF1CC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5425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r="http://schemas.openxmlformats.org/officeDocument/2006/relationships" xmlns:w="http://schemas.openxmlformats.org/wordprocessingml/2006/main">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8849-5A68-4D0B-8E9C-2CBFFDC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8644</Words>
  <Characters>4928</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13545</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Windows User</cp:lastModifiedBy>
  <cp:revision>2</cp:revision>
  <cp:lastPrinted>2017-04-18T06:29:00Z</cp:lastPrinted>
  <dcterms:created xsi:type="dcterms:W3CDTF">2021-12-17T07:52:00Z</dcterms:created>
  <dcterms:modified xsi:type="dcterms:W3CDTF">2021-12-17T07:52:00Z</dcterms:modified>
</cp:coreProperties>
</file>